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7E" w:rsidRPr="00D90D2D" w:rsidRDefault="00774F7E" w:rsidP="00D90D2D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</w:pPr>
      <w:r w:rsidRPr="00774F7E"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  <w:t>Правовые и этические основы работы, о которых важно помнить учителю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В каких документах описаны правовые нормы работы учителя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Работу учителя регламентируют пять основных документов: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1. Конституция;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2. Трудовой кодекс;</w:t>
      </w:r>
    </w:p>
    <w:p w:rsidR="00774F7E" w:rsidRPr="00774F7E" w:rsidRDefault="00774F7E" w:rsidP="00774F7E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3. Федеральный закон от 29.12.2012 № 273-ФЗ «Об образовании в Российской Федерации» (далее – Закон № </w:t>
      </w:r>
      <w:hyperlink r:id="rId4" w:anchor="/document/99/902389617/XA00M6G2N3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273-ФЗ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4. Конвенция о правах ребенка;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5. Локальные акты образовательной организации (ОО).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В этих документах закреплены преимущественно правовые нормы, соблюдение которых контролируют надзорные органы в ходе плановых проверок. В случае нарушения правовых норм педагога могут привлечь к ответственности.</w:t>
      </w:r>
    </w:p>
    <w:p w:rsidR="00774F7E" w:rsidRPr="00774F7E" w:rsidRDefault="00774F7E" w:rsidP="00774F7E">
      <w:pPr>
        <w:shd w:val="clear" w:color="auto" w:fill="9C96F4"/>
        <w:spacing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Четыре запрета для педагогов</w:t>
      </w:r>
    </w:p>
    <w:p w:rsidR="00774F7E" w:rsidRPr="00774F7E" w:rsidRDefault="00774F7E" w:rsidP="00774F7E">
      <w:pPr>
        <w:shd w:val="clear" w:color="auto" w:fill="9C96F4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Учителя не вправе использовать образовательную деятельность, чтобы (ч. 3 </w:t>
      </w:r>
      <w:hyperlink r:id="rId5" w:anchor="/document/99/902389617/XA00MBU2NK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48</w:t>
        </w:r>
      </w:hyperlink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 Закона № 273-ФЗ):</w:t>
      </w:r>
    </w:p>
    <w:p w:rsidR="00774F7E" w:rsidRPr="00774F7E" w:rsidRDefault="00774F7E" w:rsidP="00774F7E">
      <w:pPr>
        <w:shd w:val="clear" w:color="auto" w:fill="9C96F4"/>
        <w:spacing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– агитировать учеников принять политические, религиозные или иные убеждения либо отказаться от них;</w:t>
      </w: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br/>
        <w:t>– разжигать социальную, расовую, национальную или религиозную рознь;</w:t>
      </w: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br/>
        <w:t>– пропагандировать исключительность, превосходство либо неполноценность отдельных граждан по признаку социальной, расовой, национальной, религиозной или языковой принадлежности;</w:t>
      </w: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br/>
        <w:t>– побуждать учеников к противоправным действиям.</w:t>
      </w:r>
    </w:p>
    <w:p w:rsidR="00774F7E" w:rsidRPr="00774F7E" w:rsidRDefault="00774F7E" w:rsidP="00774F7E">
      <w:pPr>
        <w:shd w:val="clear" w:color="auto" w:fill="FFFFFF"/>
        <w:spacing w:before="216" w:after="204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В каких документах описаны этические нормы работы учителя</w:t>
      </w:r>
    </w:p>
    <w:p w:rsidR="00774F7E" w:rsidRPr="00774F7E" w:rsidRDefault="00774F7E" w:rsidP="00774F7E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За нарушение этических норм законодательство ответственности не предусматривает. Однако любая организация со статусом юридического лица вправе принимать локальные акты и требовать, чтобы работники их соблюдали. Таким актом может быть, например, кодекс профессиональной этики педагогов. Модельный кодекс профессиональной этики педагогов чиновники из </w:t>
      </w:r>
      <w:proofErr w:type="spellStart"/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Минобрнауки</w:t>
      </w:r>
      <w:proofErr w:type="spellEnd"/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привели в письме от 06.02.2014 </w:t>
      </w:r>
      <w:hyperlink r:id="rId6" w:anchor="/document/99/499079066/XA00LTK2M0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№ 09-148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. 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Образовательная организация вправе использовать его как основу для разработки собственного локального акта.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Кодекс профессиональной этики учителя состоит из стандартов и ограничений. Он служит гарантией качества труда педагога. Подобный документ обращает внимание работников школы на то, что их действия влияют на состояние и судьбы людей, с которыми он взаимодействует.</w:t>
      </w:r>
    </w:p>
    <w:p w:rsidR="00774F7E" w:rsidRPr="00774F7E" w:rsidRDefault="00774F7E" w:rsidP="00D90D2D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Что грозит педагогу за нарушение этических норм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В некоторых случаях нарушение этических норм может повлечь ответственность педагога. Рассмотрим их подробнее.</w:t>
      </w:r>
    </w:p>
    <w:p w:rsidR="00774F7E" w:rsidRPr="00774F7E" w:rsidRDefault="00774F7E" w:rsidP="00774F7E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Педагоги обязаны уважать честь и достоинство учеников и других участников образовательных отношений (</w:t>
      </w:r>
      <w:hyperlink r:id="rId7" w:anchor="/document/99/902389617/XA00M4O2MQ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п. 3 ч. 1 ст. 48 Закона № 273-ФЗ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Подобная обязанность может прямо следовать из локальных актов организации. Если учитель игнорирует эти требования, пострадавшие ученики и родители вправе обратиться в суд и потребовать денежную компенсацию за моральный вред. А организация-работодатель может привлечь учителя к дисциплинарной ответственности: объявить выговор, замечание, уволить (</w:t>
      </w:r>
      <w:hyperlink r:id="rId8" w:anchor="/document/99/901807664/XA00ME62NE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192 ТК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774F7E" w:rsidRPr="00774F7E" w:rsidRDefault="00774F7E" w:rsidP="00774F7E">
      <w:pPr>
        <w:shd w:val="clear" w:color="auto" w:fill="FFFFFF"/>
        <w:spacing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Педагога могут уволить и за аморальный проступок, который несовместим с дальнейшей работой (</w:t>
      </w:r>
      <w:hyperlink r:id="rId9" w:anchor="/document/99/901807664/XA00M982NF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п. 8 ч. 1 ст. 81 ТК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Или, например, если педагог хотя бы раз применял к ученикам методы воспитания, которые связаны с физическим или психическим насилием (</w:t>
      </w:r>
      <w:hyperlink r:id="rId10" w:anchor="/document/99/901807664/XA00M362MH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п. 2 ст. 336 ТК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). Но, как показывает судебная практика, доказать психическое насилие над личностью в условиях педагогического процесса сложно. Ведь учебный процесс изначально предполагает определенное психическое воздействие на ребенка и зависит от его личностных особенностей. Разграничить допустимое и недопустимое воздействие проблематично, но реально. </w:t>
      </w:r>
    </w:p>
    <w:p w:rsidR="00774F7E" w:rsidRPr="00D90D2D" w:rsidRDefault="00774F7E" w:rsidP="00D90D2D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</w:pPr>
      <w:r w:rsidRPr="00774F7E"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  <w:t>Аморальный пост</w:t>
      </w:r>
      <w:r w:rsidR="00D90D2D"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  <w:t>упок учителя и что за это грозит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Что считать аморальным поступком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Для педагогов воспитательная функция – одна из основных в работе. Поэтому общество ждет от учителей соблюдения морально-этических норм. Проступок, который нарушает принятые в обществе нормы морали, противоречит этическим требованиям к личности педагога, называют аморальным.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79A15"/>
        <w:spacing w:line="240" w:lineRule="auto"/>
        <w:jc w:val="both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За аморальный поступок педагога могут уволить. При этом неважно, где был совершен такой поступок – на работе или вне ее.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A65C9D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hyperlink r:id="rId11" w:anchor="/document/99/901807664//" w:history="1">
        <w:r w:rsidR="00774F7E"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ТК РФ</w:t>
        </w:r>
      </w:hyperlink>
      <w:r w:rsidR="00774F7E"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не дает определения аморальному проступку и не устанавливает критериев, на основании которых проступок педагога может быть признан аморальным. Иными словами, «аморальный проступок» – это не правовая, а морально-этическая категория.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Работодатель в зависимости от обстоятельств дела должен самостоятельно решить, какой проступок следует считать аморальным, а какой нет. Если трудовой спор рассматривается в суде, оценку и юридическую квалификацию действий работника даст суд.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27"/>
          <w:szCs w:val="27"/>
          <w:lang w:eastAsia="ru-RU"/>
        </w:rPr>
        <w:t>Пример</w:t>
      </w:r>
    </w:p>
    <w:p w:rsidR="00774F7E" w:rsidRPr="00774F7E" w:rsidRDefault="00774F7E" w:rsidP="00774F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Аморальные поступки учителей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Наиболее распространенные примеры аморальных поступков: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скандалы;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драки;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недостойное поведение в быту;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сквернословие в присутствии несовершеннолетних;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жестокое обращение с животными;</w:t>
      </w:r>
    </w:p>
    <w:p w:rsidR="00774F7E" w:rsidRPr="00774F7E" w:rsidRDefault="00774F7E" w:rsidP="00774F7E">
      <w:pPr>
        <w:shd w:val="clear" w:color="auto" w:fill="FFFFFF"/>
        <w:spacing w:before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появление в состоянии алкогольного, наркотического опьянения в общественных местах.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 происходит увольнение за аморальный поступок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Пострадавший или свидетель аморального поступка описывают произошедшее в докладной записке на имя руководителя организации. Если свидетелей несколько, они составляют акт. В акте указывают: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   дату, точное время и место составления документа;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   обстоятельства аморального проступка, время и место;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   педагога, совершившего аморальный проступок;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   причины проступка;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   Ф.И.О. лиц, составивших и подписавших акт.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К акту прилагают свидетельские показания, жалобы пострадавших и передают документы руководителю ОО. Руководитель должен ознакомить виновного педагога с актом под подпись.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1BBF18"/>
          <w:sz w:val="27"/>
          <w:szCs w:val="27"/>
          <w:bdr w:val="none" w:sz="0" w:space="0" w:color="auto" w:frame="1"/>
          <w:lang w:eastAsia="ru-RU"/>
        </w:rPr>
        <w:t>Может ли педагог отказаться подписывать акт?</w:t>
      </w:r>
    </w:p>
    <w:p w:rsidR="00774F7E" w:rsidRPr="00774F7E" w:rsidRDefault="00774F7E" w:rsidP="00774F7E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Да, может. При отказе учителя подписать документ, присутствующие составляют еще один акт. В нем указывают, что педагог отказался ознакомиться с документом и подписать его.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Директор должен затребовать у педагога письменное объяснение по поводу предъявляемых к нему претензий (</w:t>
      </w:r>
      <w:hyperlink r:id="rId12" w:anchor="/document/99/901807664/ZAP2FOK3FG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ч. 1 ст. 193 ТК РФ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Для этого руководитель ОО издает приказ. В приказе он перечисляет обстоятельства, в связи с которыми работник должен дать объяснение. С приказом работника знакомят под подпись. Если во время служебного разбирательства такой приказ не был издан и у работника не потребовали объяснений, суд сочтет это доказательством невиновности педагога.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Дать объяснение по поводу предъявляемых претензий – право, а не обязанность работника. Никто не обязан свидетельствовать против себя, супруга и близких родственников (</w:t>
      </w:r>
      <w:hyperlink r:id="rId13" w:anchor="/document/99/9004937/ZAP1T763F8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ч. 1 ст. 51 Конституции РФ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Вместе с тем отказ работника от дачи объяснений не является препятствием для дисциплинарного взыскания (</w:t>
      </w:r>
      <w:hyperlink r:id="rId14" w:anchor="/document/99/901807664/ZAP26BA3FN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ч. 2 ст. 193 ТК РФ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За дисциплинарный проступок работодатель вправе применить замечание, выговор, увольнение (</w:t>
      </w:r>
      <w:hyperlink r:id="rId15" w:anchor="/document/99/901807664/ZAP2M4A3HO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ч. 1 ст. 192 ТК РФ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Использовать дисциплинарные взыскания, которые не предусмотрены федеральными законами, уставами и положениями о дисциплине, запрещено (</w:t>
      </w:r>
      <w:hyperlink r:id="rId16" w:anchor="/document/99/901807664/ZAP28JM3EI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ч. 2 ст. 192 ТК РФ</w:t>
        </w:r>
      </w:hyperlink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79A15"/>
        <w:spacing w:line="240" w:lineRule="auto"/>
        <w:jc w:val="both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Педагог вправе обжаловать дисциплинарное взыскание (</w:t>
      </w:r>
      <w:hyperlink r:id="rId17" w:anchor="/document/99/901807664/ZAP2A503KT/" w:history="1">
        <w:r w:rsidRPr="00774F7E">
          <w:rPr>
            <w:rFonts w:ascii="inherit" w:eastAsia="Times New Roman" w:hAnsi="inherit" w:cs="Helvetica"/>
            <w:color w:val="2386FF"/>
            <w:sz w:val="27"/>
            <w:szCs w:val="27"/>
            <w:u w:val="single"/>
            <w:bdr w:val="none" w:sz="0" w:space="0" w:color="auto" w:frame="1"/>
            <w:lang w:eastAsia="ru-RU"/>
          </w:rPr>
          <w:t>ч. 7 ст. 193 ТК РФ</w:t>
        </w:r>
      </w:hyperlink>
      <w:r w:rsidRPr="00774F7E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). При этом, учителю нет необходимости доказывать допущенные нарушения. При рассмотрении спора в суде именно работодатель должен доказать законность увольнения.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Если аморальный поступок был совершен на работе, то уволить за него могут не позднее шести месяцев с даты совершения и не позднее одного месяца с даты </w:t>
      </w:r>
      <w:r w:rsidRPr="00774F7E">
        <w:rPr>
          <w:rFonts w:ascii="inherit" w:eastAsia="Times New Roman" w:hAnsi="inherit" w:cs="Helvetica"/>
          <w:color w:val="9793F0"/>
          <w:sz w:val="27"/>
          <w:szCs w:val="27"/>
          <w:bdr w:val="none" w:sz="0" w:space="0" w:color="auto" w:frame="1"/>
          <w:lang w:eastAsia="ru-RU"/>
        </w:rPr>
        <w:t>выявления</w:t>
      </w:r>
      <w:r w:rsidR="00D90D2D">
        <w:rPr>
          <w:rFonts w:ascii="inherit" w:eastAsia="Times New Roman" w:hAnsi="inherit" w:cs="Helvetica"/>
          <w:color w:val="9793F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поступка. Если аморальный поступок был совершен вне работы или на работе, но не в связи с трудовыми обязанностями, уволить за него могут не позднее одного года с даты выявления.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В каких случаях могут уволить за аморальный поступок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Уволить по основанию «совершение аморального проступка, несовместимого с продолжением работы» можно только тех сотрудников, которые занимаются воспитательной деятельностью. Был ли аморальный проступок совершен на работе или дома, роли не играет.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Рассмотрим несколько примеров увольнения за аморальный поступок и то, как их оценил суд.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Пример 1.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Учитель Виктория Ивановна обратилась в суд с просьбой восстановить ее по месту работы в колледже и взыскать с работодателя зарплату за время вынужденного прогула. Ранее Викторию Ивановну уволили за совершение аморального поступка. Основанием послужила докладная записка от студентов, в которой ученики указали, что педагог во время занятий допускает унизительное обращение с группой. Кроме того, учительница неоднократно оскорбительно высказывалась о родителях учеников, намекала на взятки.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По приказу директора была создана комиссия, которая провела проверку. Учителя ознакомили с жалобой ребят под подпись. Студентов дополнительно опросили, у педагога 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потребовали объяснительную записку. В результате проверки комиссия пришла к выводу, что жалоба студентов обоснована.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Принимая решение, директор руководствовался нормами законодательства: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педагог должен соблюдать правовые, нравственные и этические нормы, следовать требованиям профессиональной этики; уважать честь и достоинство обучающихся и других участников образовательных отношений (пункты 2, 3, части 1 статьи 48 Федерального закона № 273-ФЗ «Об образовании в РФ»);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- учитель обязан не допускать ущемления законных прав и свобод студентов, их человеческого достоинства, чести и деловой репутации, а также методов, связанных с физически и психическим насилием над личностью (п. 2.12 Должностной инструкции).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Суд отказался восстанавливать Викторию Ивановну на работе, поскольку не нашел нарушений в процедуре увольнения за аморальный поступок.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Пример 2.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Завуча Веру Павловну уволили из школы после конфликта с коллегой. Во время ссоры Вера Павловна дала пощечину другому учителю в присутствии ученика. Работодатель расценил этот поступок как аморальный и уволил сотрудницу с соответствующей формулировкой.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Вера Павловна обратилась в суд с просьбой восстановить ее на работе, поскольку конфликт не затрагивал интересы детей.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Суд принял во внимание, что в законодательстве нет определения аморального поступка и критериев, которые его описывают. Это значит, что работодатель должен сам оценить ситуацию и принять решение об аморальности поступка в зависимости от обстоятельств дела.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Конфликт с применением физического насилия к коллеге по работе – это нарушение Устава школы, а также принятых в обществе норм общения. В рамках своих воспитательных обязанностей педагог должен в том числе демонстрировать ученикам уважительное отношение к коллегам и умение вести себя в конфликтах. В данном случае учитель не выполнил своих прямых обязанностей, применив физическое насилие в присутствии ученика.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Суд согласился с доводами работодателя и оставил увольнение без изменений.</w:t>
      </w:r>
    </w:p>
    <w:p w:rsidR="00774F7E" w:rsidRPr="00774F7E" w:rsidRDefault="00774F7E" w:rsidP="00774F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Пример 3.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 Виталий Сергеевич работал заместителем директора по режиму в интернате для детей с </w:t>
      </w:r>
      <w:proofErr w:type="spellStart"/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девиантным</w:t>
      </w:r>
      <w:proofErr w:type="spellEnd"/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поведением. Он был уволен за аморальный поступок и обратился в суд с просьбой восстановить его на работе. В заявлении Виталий Сергеевич указал, что в приказе об увольнении не указан поступок, за который его уволили. Заместитель директора также отметил, что не был ознакомлен со служебным расследованием, в результате которого поступок признали аморальным. У Виталия Сергеевича не запросили объяснений.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Директор интерната в суде пояснил, что Виталий Сергеевич применил физическое насилие к одному из учеников. Школьник вернулся из самовольной отлучки, и во время досмотра Виталий Сергеевич шлепнул его по голове, не причинив вреда здоровью.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Суд обратил внимание участников спора на должностную инструкцию уволенного. В ней не предусмотрено выполнение заместителем директора по режиму педагогических и </w:t>
      </w: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воспитательных функций. Уволить за аморальный поступок можно только работника, который занимается воспитанием детей. Суд поддержал Алексея Николаевича и согласился, что увольнение за аморальный поступок в этом случае нарушает трудовое законодательство. Заместитель директора был восстановлен на работе.</w:t>
      </w:r>
    </w:p>
    <w:p w:rsidR="00774F7E" w:rsidRPr="00774F7E" w:rsidRDefault="00774F7E" w:rsidP="00774F7E">
      <w:pPr>
        <w:shd w:val="clear" w:color="auto" w:fill="FFFFFF"/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774F7E" w:rsidRPr="00774F7E" w:rsidRDefault="00774F7E" w:rsidP="00774F7E">
      <w:pPr>
        <w:shd w:val="clear" w:color="auto" w:fill="FFFFFF"/>
        <w:spacing w:before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774F7E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При увольнении за аморальный поступок соответствующая формулировка вносится в трудовую книжку педагога. Это может помешать дальнейшей педагогической деятельности учителя. Поэтому важно соблюдать в работе профессионально-этические нормы, знать свои права и уметь их отстаивать.</w:t>
      </w:r>
    </w:p>
    <w:p w:rsidR="00457E98" w:rsidRDefault="00457E98">
      <w:bookmarkStart w:id="0" w:name="_GoBack"/>
      <w:bookmarkEnd w:id="0"/>
    </w:p>
    <w:sectPr w:rsidR="00457E98" w:rsidSect="00D90D2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5"/>
    <w:rsid w:val="00342375"/>
    <w:rsid w:val="00457E98"/>
    <w:rsid w:val="00774F7E"/>
    <w:rsid w:val="00A65C9D"/>
    <w:rsid w:val="00D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46D6"/>
  <w15:chartTrackingRefBased/>
  <w15:docId w15:val="{60398295-2A54-4C69-96DE-F027A75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449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444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153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702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695544584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6322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8123">
          <w:marLeft w:val="0"/>
          <w:marRight w:val="0"/>
          <w:marTop w:val="48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14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292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8343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827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432">
                  <w:marLeft w:val="0"/>
                  <w:marRight w:val="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academy.menobr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academy.menobr.ru/" TargetMode="External"/><Relationship Id="rId17" Type="http://schemas.openxmlformats.org/officeDocument/2006/relationships/hyperlink" Target="https://academy.menob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.menob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s://academy.menobr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s://academy.menobr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academy.me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2022-12-28T01:43:00Z</dcterms:created>
  <dcterms:modified xsi:type="dcterms:W3CDTF">2023-03-19T16:41:00Z</dcterms:modified>
</cp:coreProperties>
</file>